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A37533">
        <w:rPr>
          <w:rFonts w:ascii="Times New Roman" w:eastAsia="Times New Roman" w:hAnsi="Times New Roman"/>
          <w:sz w:val="20"/>
          <w:szCs w:val="20"/>
        </w:rPr>
        <w:t>16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A37533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46B8A">
        <w:rPr>
          <w:rFonts w:ascii="Times New Roman" w:eastAsia="Times New Roman" w:hAnsi="Times New Roman"/>
          <w:sz w:val="20"/>
          <w:szCs w:val="20"/>
        </w:rPr>
        <w:t>1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</w:rPr>
        <w:t>Алеан-Турне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2021 г.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7D5DB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A263B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</w:t>
      </w:r>
      <w:r w:rsidR="00A37533">
        <w:rPr>
          <w:rFonts w:ascii="Times New Roman" w:eastAsia="Times New Roman" w:hAnsi="Times New Roman"/>
          <w:sz w:val="20"/>
          <w:szCs w:val="20"/>
        </w:rPr>
        <w:t>кончание) наступает в период с 01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A37533">
        <w:rPr>
          <w:rFonts w:ascii="Times New Roman" w:eastAsia="Times New Roman" w:hAnsi="Times New Roman"/>
          <w:sz w:val="20"/>
          <w:szCs w:val="20"/>
        </w:rPr>
        <w:t>октября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A37533">
        <w:rPr>
          <w:rFonts w:ascii="Times New Roman" w:eastAsia="Times New Roman" w:hAnsi="Times New Roman"/>
          <w:sz w:val="20"/>
          <w:szCs w:val="20"/>
        </w:rPr>
        <w:t>24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A37533">
        <w:rPr>
          <w:rFonts w:ascii="Times New Roman" w:eastAsia="Times New Roman" w:hAnsi="Times New Roman"/>
          <w:sz w:val="20"/>
          <w:szCs w:val="20"/>
        </w:rPr>
        <w:t>декабря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</w:t>
      </w:r>
      <w:r w:rsidR="00A37533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7D5DB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A37533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</w:t>
      </w:r>
      <w:r w:rsidR="004C0DF9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8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.2021 23:59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7D5DB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A37533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В случае аннуляции турпродукта выплата вознаграждения не производится.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3.4. При осуществлении оплаты банковской картой МИР в рамках акции взимается дополнительная комиссия 1</w:t>
      </w:r>
      <w:proofErr w:type="gram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%  от</w:t>
      </w:r>
      <w:proofErr w:type="gram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 агентского вознаграждения в счет оплаты </w:t>
      </w:r>
      <w:proofErr w:type="spell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эквайринга</w:t>
      </w:r>
      <w:proofErr w:type="spell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37533" w:rsidRDefault="00A37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119017, г. Москва, переулок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д. 5, стр. 1, э 3, пом. 1, к 35, оф 307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1157746087685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7722315820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770601001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40702810638000106386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ОАО «СБЕРБАНК РОССИИ»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30101810400000000225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7352A" w:rsidRPr="00873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244525225</w:t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4C0DF9"/>
    <w:rsid w:val="005846C4"/>
    <w:rsid w:val="007D5DB6"/>
    <w:rsid w:val="00846B8A"/>
    <w:rsid w:val="0087352A"/>
    <w:rsid w:val="00A37533"/>
    <w:rsid w:val="00A91CEA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FE06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A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8</cp:revision>
  <dcterms:created xsi:type="dcterms:W3CDTF">2020-10-13T12:11:00Z</dcterms:created>
  <dcterms:modified xsi:type="dcterms:W3CDTF">2021-07-30T12:59:00Z</dcterms:modified>
</cp:coreProperties>
</file>